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Calibri" w:cs="Calibri" w:eastAsia="Calibri" w:hAnsi="Calibri"/>
          <w:b/>
          <w:bCs/>
          <w:color w:val="1A5276"/>
          <w:sz w:val="32"/>
          <w:szCs w:val="32"/>
        </w:rPr>
        <w:t xml:space="preserve">GABARIT DE PLAN POUR UNE MISSION D'AUDIT SPÉCIFIQUE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2E3033"/>
          <w:sz w:val="20"/>
          <w:szCs w:val="20"/>
        </w:rPr>
        <w:t xml:space="preserve">Plan d'audit individuel (PAI) — quelques jours</w:t>
      </w:r>
    </w:p>
    <w:p>
      <w:pPr>
        <w:spacing w:after="160"/>
        <w:jc w:val="center"/>
      </w:pPr>
      <w:r>
        <w:rPr>
          <w:rFonts w:ascii="Calibri" w:cs="Calibri" w:eastAsia="Calibri" w:hAnsi="Calibri"/>
          <w:color w:val="C0272D"/>
          <w:sz w:val="16"/>
          <w:szCs w:val="16"/>
        </w:rPr>
        <w:t xml:space="preserve">Gabarit gratuit CapGRC par CAPTOSEC  ·  capgrc.com  ·  captosec.com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Ce document est envoyé aux audités quelques jours avant la mission pour valider le périmètre et l'organisation logistique.</w:t>
      </w:r>
    </w:p>
    <w:p>
      <w:pPr>
        <w:pBdr>
          <w:bottom w:val="single" w:color="1A5276" w:sz="12" w:space="4"/>
        </w:pBdr>
        <w:spacing w:after="140" w:before="320"/>
      </w:pPr>
      <w:r>
        <w:rPr>
          <w:rFonts w:ascii="Calibri" w:cs="Calibri" w:eastAsia="Calibri" w:hAnsi="Calibri"/>
          <w:b/>
          <w:bCs/>
          <w:color w:val="1A5276"/>
          <w:sz w:val="24"/>
          <w:szCs w:val="24"/>
        </w:rPr>
        <w:t xml:space="preserve">En-tête du document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c>
          <w:tcPr>
            <w:tcW w:type="dxa" w:w="3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/>
                <w:bCs/>
                <w:color w:val="2E3033"/>
                <w:sz w:val="16"/>
                <w:szCs w:val="16"/>
              </w:rPr>
              <w:t xml:space="preserve">Nom de l'organisation</w:t>
            </w:r>
          </w:p>
        </w:tc>
        <w:tc>
          <w:tcPr>
            <w:tcW w:type="dxa" w:w="624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16"/>
                <w:szCs w:val="16"/>
              </w:rPr>
              <w:t xml:space="preserve">[Nom de l'entreprise]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c>
          <w:tcPr>
            <w:tcW w:type="dxa" w:w="3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/>
                <w:bCs/>
                <w:color w:val="2E3033"/>
                <w:sz w:val="16"/>
                <w:szCs w:val="16"/>
              </w:rPr>
              <w:t xml:space="preserve">Référence du document</w:t>
            </w:r>
          </w:p>
        </w:tc>
        <w:tc>
          <w:tcPr>
            <w:tcW w:type="dxa" w:w="624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16"/>
                <w:szCs w:val="16"/>
              </w:rPr>
              <w:t xml:space="preserve">PAI-[Année]-[Numéro]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c>
          <w:tcPr>
            <w:tcW w:type="dxa" w:w="3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/>
                <w:bCs/>
                <w:color w:val="2E3033"/>
                <w:sz w:val="16"/>
                <w:szCs w:val="16"/>
              </w:rPr>
              <w:t xml:space="preserve">Date d'émission</w:t>
            </w:r>
          </w:p>
        </w:tc>
        <w:tc>
          <w:tcPr>
            <w:tcW w:type="dxa" w:w="624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16"/>
                <w:szCs w:val="16"/>
              </w:rPr>
              <w:t xml:space="preserve">[JJ/MM/AAAA]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c>
          <w:tcPr>
            <w:tcW w:type="dxa" w:w="3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/>
                <w:bCs/>
                <w:color w:val="2E3033"/>
                <w:sz w:val="16"/>
                <w:szCs w:val="16"/>
              </w:rPr>
              <w:t xml:space="preserve">Version</w:t>
            </w:r>
          </w:p>
        </w:tc>
        <w:tc>
          <w:tcPr>
            <w:tcW w:type="dxa" w:w="624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16"/>
                <w:szCs w:val="16"/>
              </w:rPr>
              <w:t xml:space="preserve">[Ex: V1.0]</w:t>
            </w:r>
          </w:p>
        </w:tc>
      </w:tr>
    </w:tbl>
    <w:p>
      <w:pPr>
        <w:spacing w:after="120"/>
      </w:pPr>
    </w:p>
    <w:p>
      <w:pPr>
        <w:pBdr>
          <w:bottom w:val="single" w:color="1A5276" w:sz="12" w:space="4"/>
        </w:pBdr>
        <w:spacing w:after="140" w:before="320"/>
      </w:pPr>
      <w:r>
        <w:rPr>
          <w:rFonts w:ascii="Calibri" w:cs="Calibri" w:eastAsia="Calibri" w:hAnsi="Calibri"/>
          <w:b/>
          <w:bCs/>
          <w:color w:val="1A5276"/>
          <w:sz w:val="24"/>
          <w:szCs w:val="24"/>
        </w:rPr>
        <w:t xml:space="preserve">Cadrage de la mission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c>
          <w:tcPr>
            <w:tcW w:type="dxa" w:w="3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/>
                <w:bCs/>
                <w:color w:val="2E3033"/>
                <w:sz w:val="16"/>
                <w:szCs w:val="16"/>
              </w:rPr>
              <w:t xml:space="preserve">Objet de l'audit</w:t>
            </w:r>
          </w:p>
        </w:tc>
        <w:tc>
          <w:tcPr>
            <w:tcW w:type="dxa" w:w="624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16"/>
                <w:szCs w:val="16"/>
              </w:rPr>
              <w:t xml:space="preserve">[Ex : Audit du processus Achats et Approvisionnements]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c>
          <w:tcPr>
            <w:tcW w:type="dxa" w:w="3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/>
                <w:bCs/>
                <w:color w:val="2E3033"/>
                <w:sz w:val="16"/>
                <w:szCs w:val="16"/>
              </w:rPr>
              <w:t xml:space="preserve">Périmètre (Scope)</w:t>
            </w:r>
          </w:p>
        </w:tc>
        <w:tc>
          <w:tcPr>
            <w:tcW w:type="dxa" w:w="624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16"/>
                <w:szCs w:val="16"/>
              </w:rPr>
              <w:t xml:space="preserve">[Ex : Filiale France / Direction des Achats]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c>
          <w:tcPr>
            <w:tcW w:type="dxa" w:w="3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/>
                <w:bCs/>
                <w:color w:val="2E3033"/>
                <w:sz w:val="16"/>
                <w:szCs w:val="16"/>
              </w:rPr>
              <w:t xml:space="preserve">Référentiel(s)</w:t>
            </w:r>
          </w:p>
        </w:tc>
        <w:tc>
          <w:tcPr>
            <w:tcW w:type="dxa" w:w="624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16"/>
                <w:szCs w:val="16"/>
              </w:rPr>
              <w:t xml:space="preserve">[Ex : Norme ISO 9001 / Procédure interne P-ACH-01]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c>
          <w:tcPr>
            <w:tcW w:type="dxa" w:w="3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/>
                <w:bCs/>
                <w:color w:val="2E3033"/>
                <w:sz w:val="16"/>
                <w:szCs w:val="16"/>
              </w:rPr>
              <w:t xml:space="preserve">Objectifs de l'audit</w:t>
            </w:r>
          </w:p>
        </w:tc>
        <w:tc>
          <w:tcPr>
            <w:tcW w:type="dxa" w:w="624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16"/>
                <w:szCs w:val="16"/>
              </w:rPr>
              <w:t xml:space="preserve">[Ex : Vérifier la conformité des commandes et évaluer la maîtrise des risques fournisseurs]</w:t>
            </w:r>
          </w:p>
        </w:tc>
      </w:tr>
    </w:tbl>
    <w:p>
      <w:pPr>
        <w:spacing w:after="120"/>
      </w:pPr>
    </w:p>
    <w:p>
      <w:pPr>
        <w:pBdr>
          <w:bottom w:val="single" w:color="1A5276" w:sz="12" w:space="4"/>
        </w:pBdr>
        <w:spacing w:after="140" w:before="320"/>
      </w:pPr>
      <w:r>
        <w:rPr>
          <w:rFonts w:ascii="Calibri" w:cs="Calibri" w:eastAsia="Calibri" w:hAnsi="Calibri"/>
          <w:b/>
          <w:bCs/>
          <w:color w:val="1A5276"/>
          <w:sz w:val="24"/>
          <w:szCs w:val="24"/>
        </w:rPr>
        <w:t xml:space="preserve">Équipe d'audit et interlocuteurs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c>
          <w:tcPr>
            <w:tcW w:type="dxa" w:w="3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/>
                <w:bCs/>
                <w:color w:val="2E3033"/>
                <w:sz w:val="16"/>
                <w:szCs w:val="16"/>
              </w:rPr>
              <w:t xml:space="preserve">Responsable d'audit</w:t>
            </w:r>
          </w:p>
        </w:tc>
        <w:tc>
          <w:tcPr>
            <w:tcW w:type="dxa" w:w="624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16"/>
                <w:szCs w:val="16"/>
              </w:rPr>
              <w:t xml:space="preserve">[Nom du Lead Auditor]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c>
          <w:tcPr>
            <w:tcW w:type="dxa" w:w="3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/>
                <w:bCs/>
                <w:color w:val="2E3033"/>
                <w:sz w:val="16"/>
                <w:szCs w:val="16"/>
              </w:rPr>
              <w:t xml:space="preserve">Auditeur(s)</w:t>
            </w:r>
          </w:p>
        </w:tc>
        <w:tc>
          <w:tcPr>
            <w:tcW w:type="dxa" w:w="624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16"/>
                <w:szCs w:val="16"/>
              </w:rPr>
              <w:t xml:space="preserve">[Nom des co-auditeurs]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c>
          <w:tcPr>
            <w:tcW w:type="dxa" w:w="3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/>
                <w:bCs/>
                <w:color w:val="2E3033"/>
                <w:sz w:val="16"/>
                <w:szCs w:val="16"/>
              </w:rPr>
              <w:t xml:space="preserve">Audité(s) principal(aux)</w:t>
            </w:r>
          </w:p>
        </w:tc>
        <w:tc>
          <w:tcPr>
            <w:tcW w:type="dxa" w:w="624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16"/>
                <w:szCs w:val="16"/>
              </w:rPr>
              <w:t xml:space="preserve">[Nom du Directeur Achats / Responsables de service]</w:t>
            </w:r>
          </w:p>
        </w:tc>
      </w:tr>
    </w:tbl>
    <w:p>
      <w:pPr>
        <w:spacing w:after="120"/>
      </w:pPr>
    </w:p>
    <w:p>
      <w:pPr>
        <w:pBdr>
          <w:bottom w:val="single" w:color="1A5276" w:sz="12" w:space="4"/>
        </w:pBdr>
        <w:spacing w:after="140" w:before="320"/>
      </w:pPr>
      <w:r>
        <w:rPr>
          <w:rFonts w:ascii="Calibri" w:cs="Calibri" w:eastAsia="Calibri" w:hAnsi="Calibri"/>
          <w:b/>
          <w:bCs/>
          <w:color w:val="1A5276"/>
          <w:sz w:val="24"/>
          <w:szCs w:val="24"/>
        </w:rPr>
        <w:t xml:space="preserve">Agenda détaillé (Déroulement)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600"/>
        <w:gridCol w:w="1600"/>
        <w:gridCol w:w="1760"/>
        <w:gridCol w:w="2000"/>
      </w:tblGrid>
      <w:tr>
        <w:tc>
          <w:tcPr>
            <w:tcW w:type="dxa" w:w="14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1A5276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Horaire</w:t>
            </w:r>
          </w:p>
        </w:tc>
        <w:tc>
          <w:tcPr>
            <w:tcW w:type="dxa" w:w="26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1A5276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Activité / Processus à auditer</w:t>
            </w:r>
          </w:p>
        </w:tc>
        <w:tc>
          <w:tcPr>
            <w:tcW w:type="dxa" w:w="16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1A5276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Auditeur(s)</w:t>
            </w:r>
          </w:p>
        </w:tc>
        <w:tc>
          <w:tcPr>
            <w:tcW w:type="dxa" w:w="176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1A5276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Audité(s)</w:t>
            </w:r>
          </w:p>
        </w:tc>
        <w:tc>
          <w:tcPr>
            <w:tcW w:type="dxa" w:w="20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1A5276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Documents / Critères requis</w:t>
            </w:r>
          </w:p>
        </w:tc>
      </w:tr>
      <w:tr>
        <w:tc>
          <w:tcPr>
            <w:tcW w:type="dxa" w:w="14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Jour 1 – 09h00</w:t>
            </w:r>
          </w:p>
        </w:tc>
        <w:tc>
          <w:tcPr>
            <w:tcW w:type="dxa" w:w="26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Réunion d'ouverture (objectifs, logistique)</w:t>
            </w:r>
          </w:p>
        </w:tc>
        <w:tc>
          <w:tcPr>
            <w:tcW w:type="dxa" w:w="16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Équipe complète</w:t>
            </w:r>
          </w:p>
        </w:tc>
        <w:tc>
          <w:tcPr>
            <w:tcW w:type="dxa" w:w="176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Direction, Équipe</w:t>
            </w:r>
          </w:p>
        </w:tc>
        <w:tc>
          <w:tcPr>
            <w:tcW w:type="dxa" w:w="20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Charte d'audit</w:t>
            </w:r>
          </w:p>
        </w:tc>
      </w:tr>
      <w:tr>
        <w:tc>
          <w:tcPr>
            <w:tcW w:type="dxa" w:w="14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Jour 1 – 10h00</w:t>
            </w:r>
          </w:p>
        </w:tc>
        <w:tc>
          <w:tcPr>
            <w:tcW w:type="dxa" w:w="26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Évaluation de la sélection des fournisseurs</w:t>
            </w:r>
          </w:p>
        </w:tc>
        <w:tc>
          <w:tcPr>
            <w:tcW w:type="dxa" w:w="16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Auditeur A</w:t>
            </w:r>
          </w:p>
        </w:tc>
        <w:tc>
          <w:tcPr>
            <w:tcW w:type="dxa" w:w="176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Responsable Achats</w:t>
            </w:r>
          </w:p>
        </w:tc>
        <w:tc>
          <w:tcPr>
            <w:tcW w:type="dxa" w:w="20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Procédure de sourcing</w:t>
            </w:r>
          </w:p>
        </w:tc>
      </w:tr>
      <w:tr>
        <w:tc>
          <w:tcPr>
            <w:tcW w:type="dxa" w:w="14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Jour 1 – 14h00</w:t>
            </w:r>
          </w:p>
        </w:tc>
        <w:tc>
          <w:tcPr>
            <w:tcW w:type="dxa" w:w="26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Échantillonnage et conformité des contrats</w:t>
            </w:r>
          </w:p>
        </w:tc>
        <w:tc>
          <w:tcPr>
            <w:tcW w:type="dxa" w:w="16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Auditeur B</w:t>
            </w:r>
          </w:p>
        </w:tc>
        <w:tc>
          <w:tcPr>
            <w:tcW w:type="dxa" w:w="176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Gestionnaire contrats</w:t>
            </w:r>
          </w:p>
        </w:tc>
        <w:tc>
          <w:tcPr>
            <w:tcW w:type="dxa" w:w="20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Base de données contrats</w:t>
            </w:r>
          </w:p>
        </w:tc>
      </w:tr>
      <w:tr>
        <w:tc>
          <w:tcPr>
            <w:tcW w:type="dxa" w:w="14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Jour 2 – 09h00</w:t>
            </w:r>
          </w:p>
        </w:tc>
        <w:tc>
          <w:tcPr>
            <w:tcW w:type="dxa" w:w="26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Revue de la facturation et des litiges</w:t>
            </w:r>
          </w:p>
        </w:tc>
        <w:tc>
          <w:tcPr>
            <w:tcW w:type="dxa" w:w="16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Auditeur A</w:t>
            </w:r>
          </w:p>
        </w:tc>
        <w:tc>
          <w:tcPr>
            <w:tcW w:type="dxa" w:w="176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Comptable fournisseurs</w:t>
            </w:r>
          </w:p>
        </w:tc>
        <w:tc>
          <w:tcPr>
            <w:tcW w:type="dxa" w:w="20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Journal des litiges</w:t>
            </w:r>
          </w:p>
        </w:tc>
      </w:tr>
      <w:tr>
        <w:tc>
          <w:tcPr>
            <w:tcW w:type="dxa" w:w="14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Jour 2 – 14h00</w:t>
            </w:r>
          </w:p>
        </w:tc>
        <w:tc>
          <w:tcPr>
            <w:tcW w:type="dxa" w:w="26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Rédaction de la synthèse (à huis clos)</w:t>
            </w:r>
          </w:p>
        </w:tc>
        <w:tc>
          <w:tcPr>
            <w:tcW w:type="dxa" w:w="16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Équipe complète</w:t>
            </w:r>
          </w:p>
        </w:tc>
        <w:tc>
          <w:tcPr>
            <w:tcW w:type="dxa" w:w="176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Aucun</w:t>
            </w:r>
          </w:p>
        </w:tc>
        <w:tc>
          <w:tcPr>
            <w:tcW w:type="dxa" w:w="20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Notes d'audit</w:t>
            </w:r>
          </w:p>
        </w:tc>
      </w:tr>
      <w:tr>
        <w:tc>
          <w:tcPr>
            <w:tcW w:type="dxa" w:w="14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Jour 2 – 16h00</w:t>
            </w:r>
          </w:p>
        </w:tc>
        <w:tc>
          <w:tcPr>
            <w:tcW w:type="dxa" w:w="26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Réunion de clôture (constats préliminaires)</w:t>
            </w:r>
          </w:p>
        </w:tc>
        <w:tc>
          <w:tcPr>
            <w:tcW w:type="dxa" w:w="16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Équipe complète</w:t>
            </w:r>
          </w:p>
        </w:tc>
        <w:tc>
          <w:tcPr>
            <w:tcW w:type="dxa" w:w="176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Direction, Équipe</w:t>
            </w:r>
          </w:p>
        </w:tc>
        <w:tc>
          <w:tcPr>
            <w:tcW w:type="dxa" w:w="200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5"/>
                <w:szCs w:val="15"/>
              </w:rPr>
              <w:t xml:space="preserve">Liste des écarts</w:t>
            </w:r>
          </w:p>
        </w:tc>
      </w:tr>
    </w:tbl>
    <w:p>
      <w:pPr>
        <w:pBdr>
          <w:bottom w:val="single" w:color="1A5276" w:sz="12" w:space="4"/>
        </w:pBdr>
        <w:spacing w:after="140" w:before="320"/>
      </w:pPr>
      <w:r>
        <w:rPr>
          <w:rFonts w:ascii="Calibri" w:cs="Calibri" w:eastAsia="Calibri" w:hAnsi="Calibri"/>
          <w:b/>
          <w:bCs/>
          <w:color w:val="1A5276"/>
          <w:sz w:val="24"/>
          <w:szCs w:val="24"/>
        </w:rPr>
        <w:t xml:space="preserve">Validation et signatures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B7280"/>
          <w:sz w:val="17"/>
          <w:szCs w:val="17"/>
        </w:rPr>
        <w:t xml:space="preserve">En signant ce document, les parties confirment le périmètre, l'agenda et l'organisation logistique de la mission.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1A5276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Rôle</w:t>
            </w:r>
          </w:p>
        </w:tc>
        <w:tc>
          <w:tcPr>
            <w:tcW w:type="dxa" w:w="3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1A5276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Nom / Fonction</w:t>
            </w:r>
          </w:p>
        </w:tc>
        <w:tc>
          <w:tcPr>
            <w:tcW w:type="dxa" w:w="3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1A5276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Signature / Date</w:t>
            </w:r>
          </w:p>
        </w:tc>
      </w:tr>
      <w:tr>
        <w:tc>
          <w:tcPr>
            <w:tcW w:type="dxa" w:w="3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/>
                <w:bCs/>
                <w:color w:val="2E3033"/>
                <w:sz w:val="16"/>
                <w:szCs w:val="16"/>
              </w:rPr>
              <w:t xml:space="preserve">Responsable d'audit</w:t>
            </w:r>
          </w:p>
        </w:tc>
        <w:tc>
          <w:tcPr>
            <w:tcW w:type="dxa" w:w="3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16"/>
                <w:szCs w:val="16"/>
              </w:rPr>
              <w:t xml:space="preserve">[Nom du Lead Auditor]</w:t>
            </w:r>
          </w:p>
        </w:tc>
        <w:tc>
          <w:tcPr>
            <w:tcW w:type="dxa" w:w="3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3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/>
                <w:bCs/>
                <w:color w:val="2E3033"/>
                <w:sz w:val="16"/>
                <w:szCs w:val="16"/>
              </w:rPr>
              <w:t xml:space="preserve">Audité principal</w:t>
            </w:r>
          </w:p>
        </w:tc>
        <w:tc>
          <w:tcPr>
            <w:tcW w:type="dxa" w:w="3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16"/>
                <w:szCs w:val="16"/>
              </w:rPr>
              <w:t xml:space="preserve">[Nom / Fonction]</w:t>
            </w:r>
          </w:p>
        </w:tc>
        <w:tc>
          <w:tcPr>
            <w:tcW w:type="dxa" w:w="3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3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2F4F6"/>
          </w:tcPr>
          <w:p>
            <w:r>
              <w:rPr>
                <w:rFonts w:ascii="Calibri" w:cs="Calibri" w:eastAsia="Calibri" w:hAnsi="Calibri"/>
                <w:b/>
                <w:bCs/>
                <w:color w:val="2E3033"/>
                <w:sz w:val="16"/>
                <w:szCs w:val="16"/>
              </w:rPr>
              <w:t xml:space="preserve">Direction / sponsor</w:t>
            </w:r>
          </w:p>
        </w:tc>
        <w:tc>
          <w:tcPr>
            <w:tcW w:type="dxa" w:w="3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16"/>
                <w:szCs w:val="16"/>
              </w:rPr>
              <w:t xml:space="preserve">[Nom / Fonction]</w:t>
            </w:r>
          </w:p>
        </w:tc>
        <w:tc>
          <w:tcPr>
            <w:tcW w:type="dxa" w:w="3120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E3033"/>
                <w:sz w:val="16"/>
                <w:szCs w:val="16"/>
              </w:rPr>
              <w:t xml:space="preserve"> </w:t>
            </w:r>
          </w:p>
        </w:tc>
      </w:tr>
    </w:tbl>
    <w:p>
      <w:pPr>
        <w:spacing w:before="280"/>
      </w:pPr>
    </w:p>
    <w:p>
      <w:r>
        <w:rPr>
          <w:rFonts w:ascii="Calibri" w:cs="Calibri" w:eastAsia="Calibri" w:hAnsi="Calibri"/>
          <w:i/>
          <w:iCs/>
          <w:color w:val="6B7280"/>
          <w:sz w:val="14"/>
          <w:szCs w:val="14"/>
        </w:rPr>
        <w:t xml:space="preserve">Ce gabarit est fourni à titre informatif par CapGRC (produit CAPTOSEC). Adaptez-le à votre contexte organisationnel et à votre charte d'audit interne.</w:t>
      </w:r>
    </w:p>
    <w:sectPr>
      <w:headerReference w:type="default" r:id="rId7"/>
      <w:footerReference w:type="default" r:id="rId8"/>
      <w:pgSz w:w="11906" w:h="16838" w:orient="portrait"/>
      <w:pgMar w:top="1224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280"/>
        <w:sz w:val="14"/>
        <w:szCs w:val="14"/>
      </w:rPr>
      <w:t xml:space="preserve">Gabarit gratuit CapGRC par CAPTOSEC — www.capgrc.com — info@captosec.com  |  Page </w:t>
    </w:r>
    <w:r>
      <w:rPr>
        <w:rFonts w:ascii="Calibri" w:cs="Calibri" w:eastAsia="Calibri" w:hAnsi="Calibri"/>
        <w:color w:val="6B7280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047750" cy="304800"/>
          <wp:effectExtent t="0" r="0" b="0" l="0"/>
          <wp:docPr id="1" name="logo" descr="Logo CapGRC" title="CapGR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3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</w:rPr>
      <w:t xml:space="preserve">   </w:t>
    </w:r>
    <w:r>
      <w:rPr>
        <w:rFonts w:ascii="Calibri" w:cs="Calibri" w:eastAsia="Calibri" w:hAnsi="Calibri"/>
        <w:b/>
        <w:bCs/>
        <w:color w:val="2E3033"/>
        <w:sz w:val="16"/>
        <w:szCs w:val="16"/>
      </w:rPr>
      <w:t xml:space="preserve">CapGRC  ·  produit CAPTOSEC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b295bc0b1b454e0059c4d6c5af339eaf0d572cd7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2026-08-04T13:48:46.494Z</dcterms:created>
  <dcterms:modified xsi:type="dcterms:W3CDTF">2026-08-04T13:48:46.494Z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